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Кардиология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Кардиология | Записей: 2</w:t>
      </w:r>
    </w:p>
    <w:p>
      <w:r>
        <w:br w:type="page"/>
      </w:r>
    </w:p>
    <w:p>
      <w:pPr>
        <w:pStyle w:val="Heading1"/>
      </w:pPr>
      <w:r>
        <w:t>Кардиология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Кардиология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Н. 61 года, пенсионер, обратился к врачу-терапевту участковому.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одышку, возникающую при небольшой физической нагрузке, проходящую в покое,</w:t>
      </w:r>
    </w:p>
    <w:p>
      <w:pPr>
        <w:spacing w:after="58"/>
      </w:pPr>
      <w:r>
        <w:rPr>
          <w:b w:val="0"/>
          <w:i w:val="0"/>
        </w:rPr>
        <w:t>* эпизоды удушья в ночное время суток, вынуждающие больного принять вертикальное положение,</w:t>
      </w:r>
    </w:p>
    <w:p>
      <w:pPr>
        <w:spacing w:after="58"/>
      </w:pPr>
      <w:r>
        <w:rPr>
          <w:b w:val="0"/>
          <w:i w:val="0"/>
        </w:rPr>
        <w:t>* тяжесть в правом подреберье,</w:t>
      </w:r>
    </w:p>
    <w:p>
      <w:pPr>
        <w:spacing w:after="58"/>
      </w:pPr>
      <w:r>
        <w:rPr>
          <w:b w:val="0"/>
          <w:i w:val="0"/>
        </w:rPr>
        <w:t>* отеки голеней и стоп,</w:t>
      </w:r>
    </w:p>
    <w:p>
      <w:pPr>
        <w:spacing w:after="58"/>
      </w:pPr>
      <w:r>
        <w:rPr>
          <w:b w:val="0"/>
          <w:i w:val="0"/>
        </w:rPr>
        <w:t>* слабость, повышенную утомляемость,</w:t>
      </w:r>
    </w:p>
    <w:p>
      <w:pPr>
        <w:spacing w:after="58"/>
      </w:pPr>
      <w:r>
        <w:rPr>
          <w:b w:val="0"/>
          <w:i w:val="0"/>
        </w:rPr>
        <w:t>* уменьшение объема выделяемой мочи.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течение длительного времени (приблизительно с 45 лет) страдал артериальной гипертензией с повышением АД до 170/100 мм рт.ст., однако не обследовался, лечения не получал. В возрасте 60 лет без предшествующей стенокардии перенес инфаркт миокарда, лечился стационарно консервативно. Рекомендованную при выписке из стационара терапию принимал в течение 1 месяца, затем все препараты самостоятельно отменил, мотивируя удовлетворительным самочувствием. В течение года после инфаркта миокарда больной отметил снижение цифр АД и появление одышки сначала при обычной, потом и при незначительной физической нагрузке, что ограничивало его повседневную активность. В последующем присоединились отеки нижних конечностей, обратил внимание на уменьшение количества выделяемой мочи, особенно в дневное время.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 и развивался нормально.</w:t>
      </w:r>
    </w:p>
    <w:p>
      <w:pPr>
        <w:spacing w:after="58"/>
      </w:pPr>
      <w:r>
        <w:rPr>
          <w:b w:val="0"/>
          <w:i w:val="0"/>
        </w:rPr>
        <w:t>* Работал токарем.</w:t>
      </w:r>
    </w:p>
    <w:p>
      <w:pPr>
        <w:spacing w:after="58"/>
      </w:pPr>
      <w:r>
        <w:rPr>
          <w:b w:val="0"/>
          <w:i w:val="0"/>
        </w:rPr>
        <w:t>* С 16 лет курил по 1 пачке в день. После перенесенного инфаркта курить бросил.</w:t>
      </w:r>
    </w:p>
    <w:p>
      <w:pPr>
        <w:spacing w:after="58"/>
      </w:pPr>
      <w:r>
        <w:rPr>
          <w:b w:val="0"/>
          <w:i w:val="0"/>
        </w:rPr>
        <w:t>* Семейный анамнез: отец больного умер в возрасте 52 лет от заболевания сердца, мать 83-х лет жива, страдает артериальной гипертензией.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тяжелое. Рост – 177 см, масса тела – 85 кг. Кожные покровы бледные. Цианоз губ, акроцианоз. Температура тела – 36,4°С. Симметричные отеки стоп и голеней до средней трети. Грудная клетка цилиндрической формы, симметричная. ЧДД – 23 в минуту. При сравнительной перкуссии в симметричных участках грудной клетки определяется легочный звук с коробочным оттенком, ниже углов лопаток с обеих сторон определяется укорочение перкуторного звука. При аускультации над легкими выслушивается жесткое дыхание, в нижних отделах с обеих сторон – влажные незвонкие мелкопузырчатые хрипы. Границы относительной тупости сердца: правая – по правому краю грудины, левая – в VI межреберье по передне-подмышечной линии, верхняя – по верхнему краю III ребра. При аускультации сердца тоны ослаблены, ритмичные, на верхушке выслушивается ритм галопа и мягкий систолический шум, проводящийся в левую подмышечную область. ЧСС – 94 удара в минуту. АД – 120/80 мм рт.ст. Пульс – 94 удара в минуту. Живот мягкий, чувствительный в области правого подреберья. Размеры печени: 15×12×9 см. Область почек не изменена. Почки не пальпируются.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Выберите необходимые для постановки диагноза лабораторные методы обследования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общий анализ мокроты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общий анализ мочи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определение уровня С-реактивного протеина и ревматоидного фактора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определение титра противострептококковых антител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клинический анализ крови; общий анализ мочи; биохимический анализ крови</w:t>
      </w:r>
    </w:p>
    <w:p>
      <w:pPr>
        <w:ind w:left="504"/>
      </w:pPr>
      <w:r>
        <w:rPr>
          <w:b w:val="0"/>
          <w:i/>
        </w:rPr>
        <w:t>Всем пациентам для исключения сопутствующей патологии и определения тактики лечения ХСНрекомендуетсяпроведение общего (клинического) анализа крови (исследование уровня эритроцитов, тромбоцитов, лейкоцитов в крови, оценка гематокрита).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для исключения сопутствующей патологии и определения тактики лечения ХСНрекомендуетсяпроведение общего (клинического) анализа мочи.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для исключения сопутствующей патологии и определения тактики лечения ХСНрекомендуетсяпроведение биохимического анализа крови: исследование уровня натрия и калия в крови, уровня креатинина в крови и скорости клубочковой фильтрации (СКФ) (расчетный показатель), уровня общего белка и альбумина в крови, уровня глюкозы в крови, уровня триглицеридов в крови, уровня холестерина в крови и уровня липопротеидов в крови, определение активности щелочной фосфатазы в крови, активности гамма-глютамилтрансферазы в крови, активности аспартатаминотрансферазы в крови и активности аланинаминотрансферазы в крови.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Учитывая ишемическую этиологию ХСН, показано определение липидного профиля в качестве обязательного базового обследования всех пациентов с ИБС.</w:t>
        <w:br/>
        <w:br/>
        <w:t>Всем пациентам с ИБС или подозрением на неерекомендуетсяпровести анализ крови для оценки нарушений липидного обмена, биохимический (анализ крови биохимический общетерапевтический), включая исследование уровня общего исследование уровня холестерина в крови, исследование уровня холестерина липопротеидов низкой плотности (ХсЛНП), исследование уровня триглицеридов (ТГ), холестерина липопротеинов высокой плотности в крови (ХcЛПВП) с целью выявления фактора риска и, при необходимости, коррекции терапии.</w:t>
        <w:br/>
        <w:br/>
      </w:r>
      <w:hyperlink r:id="rId13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ЭКГ в покое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бодиплетизмография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Эхо-КГ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экскреторная урография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УЗДГ глубоких вен нижних конечностей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ЭКГ в покое; Эхо-КГ</w:t>
      </w:r>
    </w:p>
    <w:p>
      <w:pPr>
        <w:ind w:left="504"/>
      </w:pPr>
      <w:r>
        <w:rPr>
          <w:b w:val="0"/>
          <w:i/>
        </w:rPr>
        <w:t>Регистрация 12-канальной электрокардиограммы (ЭКГ) в покое и расшифровка, описание и интерпретация электрокардиографических данныхрекомендованавсем пациентам с подозрением на ИБС для выявления признаков ишемии в покое (в том числе, безболевой ишемии миокарда), а также возможного наличия зубца Q, сопутствующих нарушений ритма и проводимости сердца.</w:t>
        <w:br/>
        <w:br/>
      </w:r>
      <w:hyperlink r:id="rId13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Всем пациентам c ХСНрекомендуетсявыполнение 12-канальной электрокардиографии (регистрация электрокардиограммы) (ЭКГ) с оценкой сердечного ритма, частоты сердечных сокращений (ЧСС), морфологии и продолжительности комплекса QRS, наличия нарушений атрриовентрикулярной и желудочковой проводимости (БЛНПГ, блокады правой ножки пучка Гиса), рубцового поражения миокарда, гипертрофии миокарда). Диагноз ХСН маловероятен при наличии абсолютно нормальной ЭКГ.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Трансторакальная эхокардиография (ЭхоКГ) в состоянии покоя с использованием допплеровских режимоврекомендованавсем пациентам с подозрением на ИБС для: 1) исключения других причин боли в грудной клетке; 2) выявления нарушений локальной сократимости (НЛС) левого желудочка; 3) измерения фракции выброса (ФВ) ЛЖ; 4) оценки диастолической функции ЛЖ; 5) выявления патологии клапанного аппарата сердца.</w:t>
        <w:br/>
        <w:br/>
      </w:r>
      <w:hyperlink r:id="rId13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Всем пациентам с подозрением на СНрекомендуетсяэхокардиография (ЭхоКГ) для оценки структуры и функции сердца с целью подтверждения диагноза и установления фенотипа СН.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Какой предполагаемый основной диагноз?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Первичная дилатационная кардиомиопатия. Относительная недостаточность митрального и трикуспидального клапанов. Легочная гипертензия. Желудочковая экстрасистолия 2 ФК по Лауну. ХСН со сниженной ФВ ЛЖ, IIБ ст., IV ФК NYHA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ИБС: постинфарктный кардиосклероз. Гипертоническая болезнь II ст., артериальная гипертензия 2 ст., риск ССО очень высокий. Сочетанное: Бронхиальная астма, эндогенная форма, тяжелого персистирующего течения, обострение. Пневмосклероз. Эмфизема легких. Астматический статус 1 ст.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Хроническая обструктивная болезнь легких, бронхитический фенотип, средней степени тяжести (II cтадия), обострение. Хронический бронхит, ассоциированный с табакокурением, обострение. Хроническое легочное сердце II ФК. Дыхательная недостаточность III ст. Вторичные тракционные бронхоэктазы. Внебольничная очаговая полисегментарная пневмония в нижней доле левого легкого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ИБС: постинфарктный кардиосклероз. Гипертоническая болезнь III ст., контролируемая артериальная гипертензия, риск ССО очень высокий. ХСН с низкой ФВ ЛЖ 35%, 1 стадии РКО, IV ФК NYHA. Приступы сердечной астмы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ИБС: постинфарктный кардиосклероз. Гипертоническая болезнь III ст., контролируемая артериальная гипертензия, риск ССО очень высокий. ХСН с низкой ФВ ЛЖ 35%, 1 стадии РКО, IV ФК NYHA. Приступы сердечной астмы</w:t>
      </w:r>
    </w:p>
    <w:p>
      <w:pPr>
        <w:ind w:left="504"/>
      </w:pPr>
      <w:r>
        <w:rPr>
          <w:b w:val="0"/>
          <w:i/>
        </w:rPr>
        <w:t>У больного имеются анамнестические данные о перенесенном инфаркте миокарда, что подтверждается результатами ЭКГ (Q-очаговые изменения в задне-диафрагмальной стенке ЛЖ) и ЭхоКГ (зоны акинезии в задней стенке ЛЖ с дилатацией полостей сердца и снижением ФВ ЛЖ до 35%).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Анамнез предшествующей АГ (с учетом типичного возраста начала заболевания, ФР наиболее вероятна гипертоническая болезнь), в настоящее время АД находится в интервале целевых значений – контролируемое течение АГ, очень высокого риска, т.к. имеются ассоциированные клинические состояния – ИБС и ХСН.</w:t>
        <w:br/>
        <w:br/>
      </w:r>
      <w:hyperlink r:id="rId20">
        <w:r>
          <w:rPr>
            <w:color w:val="0F766E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Приступы ночной одышки у больного с ХСН со сниженной ФВ ЛЖ следует расценивать как проявления сердечной астмы.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Препаратами «первой линии» в лечении больного, в клинической картине которого превалирует симптоматика ХСН, являются валсартан-сакубитрил или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ингибиторы АПФ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петлевые диуретики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сердечные гликозиды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пролонгированные нитраты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ингибиторы АПФ</w:t>
      </w:r>
    </w:p>
    <w:p>
      <w:pPr>
        <w:ind w:left="504"/>
      </w:pPr>
      <w:r>
        <w:rPr>
          <w:b w:val="0"/>
          <w:i/>
        </w:rPr>
        <w:t>иАПФ/валсартан+сакубитрил{asterisk}{asterisk}, бета-адреноблокаторы (β-АБ), антагонисты альдостерона, дапаглифлозин{asterisk}{asterisk}/эмпаглифлозин{asterisk}{asterisk} (ингибиторы натрийзависимого переносчика глюкозы 2-го типа) рекомендуются в составе комбинированной четырехкомпонентной терапии для лечения всем пациентам с симптомной ХСНнФВ (≤40%) для снижения госпитализации из-за ХСН и смерти.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иАПФ рекомендуются всем пациентам с симптомной ХСНнФВ при отсутствии противопоказаний для снижения риска госпитализации из-за СН и смерти.</w:t>
        <w:br/>
        <w:br/>
      </w:r>
      <w:hyperlink r:id="rId24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Абсолютным противопоказанием для назначения ингибиторов АПФ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облитерирующий атеросклероз артерий нижних конечностей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атеросклероз коронарных артерий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двусторонний стеноз почечных артерий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дилятационная кардиомиопатия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двусторонний стеноз почечных артерий</w:t>
      </w:r>
    </w:p>
    <w:p>
      <w:pPr>
        <w:ind w:left="504"/>
      </w:pPr>
      <w:r>
        <w:rPr>
          <w:b w:val="0"/>
          <w:i/>
        </w:rPr>
        <w:t>Противопоказания к назначению  иАПФ:</w:t>
        <w:br/>
        <w:br/>
        <w:t>* ангионевротический отек в анамнезе;</w:t>
        <w:br/>
        <w:t>* сухой кашель и аллергические реакции;</w:t>
        <w:br/>
        <w:t>* ранее выявленный двусторонний стеноз почечных артерий;</w:t>
        <w:br/>
        <w:t>* беременность.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После начала терапии иАПФ допустимо увеличение уровня креатинина на +______+ % выше исходных значений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80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50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</w:t>
      </w:r>
    </w:p>
    <w:p>
      <w:pPr>
        <w:ind w:left="504"/>
      </w:pPr>
      <w:r>
        <w:rPr>
          <w:b w:val="0"/>
          <w:i/>
        </w:rPr>
        <w:t>После начала терапии иАПФ допустимо увеличение уровня креатинина на 50% выше исходных значений, или до 226 мкмоль/л (3,0мг/дЛ).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Комбинированная базисная терапия ХСН со сниженной фракцией выброса левого желудочка у данного больного наряду с ингибиторами АПФ и бета-адреноблокаторами должна включать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антагониста минералокортикоидных рецепторов и ингибитора натрий-глюкозного ко-транспортера 2 типа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блокатора ангиотензиновых рецепторов и непрямого антикоагулянта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статина и антиагреганта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петлевых и тиазидных диуретиков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антагониста минералокортикоидных рецепторов и ингибитора натрий-глюкозного ко-транспортера 2 типа</w:t>
      </w:r>
    </w:p>
    <w:p>
      <w:pPr>
        <w:ind w:left="504"/>
      </w:pPr>
      <w:r>
        <w:rPr>
          <w:b w:val="0"/>
          <w:i/>
        </w:rPr>
        <w:t>иАПФ/валсартан+сакубитрил{asterisk}{asterisk}, бета-адреноблокаторы (β-АБ), антагонисты альдостерона, дапаглифлозин{asterisk}{asterisk}/эмпаглифлозин{asterisk}{asterisk} (ингибиторы натрийзависимого переносчика глюкозы 2-го типа)рекомендуютсяв составе комбинированной четырехкомпонентной терапии для лечения всем пациентам с симптомной ХСНнФВ (≤40%) для снижения госпитализации из-за ХСН и смерти.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Терапию диуретиками необходимо начинать с малых доз, постепенно титруя дозу препарата до тех пор, пока потеря веса больного не составит +__________+ кг ежедневно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0,2-0,4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1,1-1,5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1,6-2,0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0,75-1,0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0,75-1,0</w:t>
      </w:r>
    </w:p>
    <w:p>
      <w:pPr>
        <w:ind w:left="504"/>
      </w:pPr>
      <w:r>
        <w:rPr>
          <w:b w:val="0"/>
          <w:i/>
        </w:rPr>
        <w:t>Терапию диуретиками у пациентов с симптомами задержки жидкости необходимо начинать с малых доз, постепенно титруя дозу препарата до тех пор, пока потеря веса пациента не составит 0,75-1,0 кг ежедневно.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настоящее время противопоказанием к назначению бета-адреноблокаторов у данного больного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фибрилляция предсердий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артериальная гипертензия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полная блокада левой ножки пучка Гиса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тяжелая декомпенсация ХСН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тяжелая декомпенсация ХСН</w:t>
      </w:r>
    </w:p>
    <w:p>
      <w:pPr>
        <w:ind w:left="504"/>
      </w:pPr>
      <w:r>
        <w:rPr>
          <w:b w:val="0"/>
          <w:i/>
        </w:rPr>
        <w:t>Назначение терапии β-АБ не рекомендуется у не стабильных пациентов с декомпенсированной ХСН.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Учитывая тяжесть декомпенсации ХСН больному в стационаре показана дегидратационная терапия, начинать которую следует с +____________+ диуретиков с +________________+ путем введения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тиазидных; пероральным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петлевых; пероральным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петлевых; внутривенным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калий-сберегающих; пероральным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петлевых; внутривенным</w:t>
      </w:r>
    </w:p>
    <w:p>
      <w:pPr>
        <w:ind w:left="504"/>
      </w:pPr>
      <w:r>
        <w:rPr>
          <w:b w:val="0"/>
          <w:i/>
        </w:rPr>
        <w:t>Петлевые диуретики фуросемид{asterisk}{asterisk} и торасемид являются наиболее часто используемыми диуретиками при ХСН. В отличие от фуросемида{asterisk}{asterisk}, торасемид обладает антиальдостероновым эффектом и в меньшей степени активирует РААС.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 появлении симптомов декомпенсации всегда требуется увеличение дозы или перевод на внутривенное введение диуретика в связи с развитием гипоперфузии и отека кишечника с нарушением всасываемости препарата.</w:t>
        <w:br/>
        <w:br/>
      </w:r>
      <w:hyperlink r:id="rId30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У больного с декомпенсированной ХСН, получающего ингибитор АПФ, фуросемид и спиронолактон для мониторинга за развитием нежелательных побочных эффектов необходима динамическая оценка показателя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гликозилированного гемоглобина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частоты сердечных сокращений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СКФ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продолжительности коррегированного QT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СКФ</w:t>
      </w:r>
    </w:p>
    <w:p>
      <w:pPr>
        <w:ind w:left="504"/>
      </w:pPr>
      <w:r>
        <w:rPr>
          <w:b w:val="0"/>
          <w:i/>
        </w:rPr>
        <w:t>Контроль уровня АД и биохимический анализ крови (мочевина, креатинин, калий) через 1-2 недели после начала терапии иАПФ и через 1-2 недели после окончательного титрования дозы; дальнейшее мониторирование биохимического анализа крови 1 раз в 4 месяца;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Контроль калия и креатинина крови через 1, 4, 8 и 12 недель; 6, 9 и 12 месяцев; далее каждые 4 месяца лечения спиронолактоном.</w:t>
        <w:br/>
        <w:br/>
      </w:r>
      <w:hyperlink r:id="rId32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Контроль электролитов, креатинина и мочевины крови через 1-2 недели после инициации терапии или изменения дозы петлевых диуретиков.</w:t>
        <w:br/>
        <w:br/>
      </w:r>
      <w:hyperlink r:id="rId33">
        <w:r>
          <w:rPr>
            <w:color w:val="0F766E"/>
            <w:u w:val="single"/>
          </w:rPr>
          <w:t>(3)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развитии у больного гинекомастии на фоне длительного приема спиронолактона необходимо заменить его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торасемид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индапамид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эплеренон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хлорталидон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эплеренон</w:t>
      </w:r>
    </w:p>
    <w:p>
      <w:pPr>
        <w:ind w:left="504"/>
      </w:pPr>
      <w:r>
        <w:rPr>
          <w:b w:val="0"/>
          <w:i/>
        </w:rPr>
        <w:t>У мужчин, длительно принимающих спиронолактон, возможно развитие симптомов гинекомастии/дискомфорта в области грудных желез, дис- и аменорея у женщин. В этом случае рекомендована отмена данного препарата и его замена на селективный АМКР эплеренон.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34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Кардиология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Кардиология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П. 76 лет поступил в кардиологическое отделение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•</w:t>
        <w:tab/>
        <w:t>На боли сжимающего характера за грудиной, возникающие при ходьбе по ровному месту на расстояние 100 метров и подъеме на один лестничный пролет, купирующиеся нитроглицерином в течение 2-3 минут,</w:t>
        <w:br/>
        <w:t>•</w:t>
        <w:tab/>
        <w:t>эпизоды одышки, возникающие при тех же условиях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Из анамнеза известно, что более 20 лет отмечает подъемы артериального давления до 170/100 мм рт. ст., эпизодически принимал капотен, АД не контролировал.</w:t>
        <w:br/>
        <w:t>Боли за грудиной беспокоят в течение 6 лет, не обследовался, лечение назначено не было. Однако больной самостоятельно начал прием нитроглицерина с эффектом. Около 3 лет при измерении АД обратил внимание на неритмичность пульса, но значения этому не придал, посчитав «возрастными изменениями», с этого же времени отметил снижение толерантности к физическим нагрузкам. В настоящее время боли за грудиной сжимающего характера возникают при ходьбе по ровному месту на расстояние 100 метров и подъеме на один лестничный пролет, купируются нитроглицерином в течение 2-3 минут. Ежедневная потребность в нитратах 5-6 таблеток.</w:t>
        <w:br/>
        <w:t>Одышка при физической нагрузке появилась в течение года.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</w:t>
        <w:tab/>
        <w:t>Рос и развивался нормально</w:t>
        <w:br/>
        <w:t>*</w:t>
        <w:tab/>
        <w:t>Перенесенные заболевания и операции: детские инфекции</w:t>
        <w:br/>
        <w:t>*</w:t>
        <w:tab/>
        <w:t>Наследственность: отец больного умер от инфаркта в возрасте 58 лет</w:t>
        <w:br/>
        <w:t>*</w:t>
        <w:tab/>
        <w:t>Курит с 16 лет по пачке папирос в день.</w:t>
        <w:br/>
        <w:t>*</w:t>
        <w:tab/>
        <w:t>Алкоголем не злоупотребляет.</w:t>
        <w:br/>
        <w:t>*</w:t>
        <w:tab/>
        <w:t>Работал инженером на заводе, в настоящее время на пенсии.</w:t>
        <w:br/>
        <w:t>*</w:t>
        <w:tab/>
        <w:t>Сопутствующие заболевания: доброкачественная гиперплазия предстательной железы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осмотре состояние средней тяжести. Рост 185 см, вес 72 кг. Кожные покровы обычной окраски. Т тела 36,70С. Лимфатические узлы не увеличены. Акроцианоз губ. На коже век – ксантелазмы. Липоидная дуга роговицы. Грудная клетка бочкообразной формы, симметричная. ЧДД 18 в минуту. При сравнительной перкуссии в симметричных участках грудной клетки определяется коробочный звук. При аускультации над легкими выслушивается жесткое дыхание, рассеянные сухие жужжащие хрипы, а в нижних отделах – единичные незвонкие влажные мелкопузырчатые хрипы. Границы относительной тупости сердца: правая - правый край грудины, левая - в V межреберье на 2 см латеральнее левой среднеключичной линии, верхняя - верхний край III ребра. При аускультации сердца тоны ослаблены, аритмичные. ЧСС - 140 ударов в минуту. АД - 130/80 мм рт. ст. Пульс 100 ударов в минуту. Дефицит пульса – около 40 в мин. Живот мягкий, безболезненный. Размеры печени: 9x8x7 см. Печень пальпируется у края реберной дуги.  Область почек не изменена. Почки не пальпируются. Симптом поколачивания отрицательный с обеих сторон. Периферических отеков нет. Стул в норме.Отмечает трудности при мочеиспускании.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необходимым для постановки диагноза лабораторным методам обследования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ренин-альдостеронового соотношения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биохимический анализ крови с определением липидного профиля, АЛТ, АСТ, глюкозы, мочевины, креатинина, калия, натрия, маркеров некроза миокарда (тропонины I и/или Т, КФК и ее МВ-фракция)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титра противострептококковых антител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уровня С-реактивного протеина и ревматоидного фактора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общий анализ мокроты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биохимический анализ крови с определением липидного профиля, АЛТ, АСТ, глюкозы, мочевины, креатинина, калия, натрия, маркеров некроза миокарда (тропонины I и/или Т, КФК и ее МВ-фракция); клинический анализ крови</w:t>
      </w:r>
    </w:p>
    <w:p>
      <w:pPr>
        <w:ind w:left="504"/>
      </w:pPr>
      <w:r>
        <w:rPr>
          <w:b w:val="0"/>
          <w:i/>
        </w:rPr>
        <w:t>Всем пациентам для верификации диагноза ХСН рекомендуется проведение рутинных анализов: общий (клинический) анализ крови (исследование уровня эритроцитов, тромбоцитов, лейкоцитов в крови, оценка гематокрита), исследование уровня ферритина в крови и исследование насыщения трансферрина железом исследование уровня натрия и калия в крови, исследование уровня креатинина в крови и скорости клубочковой фильтрации (расчетный показатель), исследование уровня глюкозы в крови, исследование уровня гликированного гемоглобина в крови, исследование уровня триглицеридов в крови, уровня холестерина в крови и уровня липопротеинов в крови, определение активности щелочной фосфатазы в крови, активности гамма-глютамилтрансферазы в крови, активности аспартатаминотрансферазы в крови и активности аланинаминотрансферазы в крови, общий (клинический) анализ мочи исследование уровня свободного трийодтиронина (СТ3) в крови, исследование уровня свободного тироксина (СТ4) сыворотки крови, исследование уровня тиреотропного гормона (ТТГ) в крови</w:t>
        <w:br/>
        <w:br/>
        <w:t>Клинические рекомендации Министерства здравоохранения Российской Федерации. Хроническая сердечная недостаточность. 2020 г.</w:t>
        <w:br/>
        <w:br/>
      </w:r>
      <w:hyperlink r:id="rId3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Хроническая сердечная недостаточность. 2020 г.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для верификации диагноза ХСН рекомендуется проведение рутинных анализов: общий (клинический) анализ крови (исследование уровня эритроцитов, тромбоцитов, лейкоцитов в крови, оценка гематокрита), исследование уровня ферритина в крови и исследование насыщения трансферрина железом исследование уровня натрия и калия в крови, исследование уровня креатинина в крови и скорости клубочковой фильтрации (расчетный показатель), исследование уровня глюкозы в крови, исследование уровня гликированного гемоглобина в крови, исследование уровня триглицеридов в крови, уровня холестерина в крови и уровня липопротеинов в крови, определение активности щелочной фосфатазы в крови, активности гамма-глютамилтрансферазы в крови, активности аспартатаминотрансферазы в крови и активности аланинаминотрансферазы в крови, общий (клинический) анализ мочи исследование уровня свободного трийодтиронина (СТ3) в крови, исследование уровня свободного тироксина (СТ4) сыворотки крови, исследование уровня тиреотропного гормона (ТТГ) в крови</w:t>
        <w:br/>
        <w:br/>
        <w:t>Клинические рекомендации Министерства здравоохранения Российской Федерации. Хроническая сердечная недостаточность. 2020 г.</w:t>
        <w:br/>
        <w:br/>
      </w:r>
      <w:hyperlink r:id="rId3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Хроническая сердечная недостаточность. 2020 г.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лабораторных методов обследования</w:t>
      </w:r>
    </w:p>
    <w:p>
      <w:pPr>
        <w:pStyle w:val="Heading3"/>
      </w:pPr>
      <w:r>
        <w:t>3.1. Клинический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Наименование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Нормы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Результат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Гемоглобин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130,0 - 160,0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165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Эритроциты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4,00 - 5,70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5,6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Лейкоциты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4,00 - 9,00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7,4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Нейтрофилы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48,00 - 78,00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62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Лимфоциты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17,0 - 48,0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31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Моноциты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2,0 - 10,0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6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Эозинофилы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0,0 - 6,0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Базофилы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0,0 - 1,0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Тромбоциты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150,0 - 320,0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290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СОЭ по Панченкову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2 - 20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9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3408"/>
          </w:tcPr>
          <w:p/>
        </w:tc>
      </w:tr>
    </w:tbl>
    <w:p/>
    <w:p>
      <w:pPr>
        <w:pStyle w:val="Heading3"/>
      </w:pPr>
      <w:r>
        <w:t>3.2. Биохимический анализ крови с определением липидного профиля, АЛТ, АСТ, глюкозы, мочевины, креатинина, калия, натрия, маркеров некроза миокарда (тропонины I и/или Т, КФК и ее МВ-фракция)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Норма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Белок общий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77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63-87 г/л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Креатинин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92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44-115 мкмоль/л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Мочевина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8,1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2,5-8,3 ммоль/л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Мочевая кислота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216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120-430 мкмоль/л.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Холестерин общий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7,2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3,3-5,8 ммоль/л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ЛПНП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3,4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&lt;3 ммоль/л, &lt;1,8ммоль/л</w:t>
              <w:br/>
              <w:t>у больных ИБС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ЛПВП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0,8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&gt;1,2 ммоль/л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Глюкоза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3,5-6,2 ммоль 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Билирубин общий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8,49-20,58 мкмоль/л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Билирубин прямой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2,2-5,1 мкмоль/л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Триглицериды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2,3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менее 1,7 ммоль/л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АСТ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28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до 42 Ед/л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АЛТ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до 38 Ед/л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Калий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3,35-5,35 ммоль/л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Натрий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147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130-155 ммоль/л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Тропонин 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0,02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до 0,03 нг/мл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КФК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134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до 180 Ед/л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МВ-КФК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10-25 Ед/л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3408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В динамике – без существенных отклонений от первоначальных значений</w:t>
      </w:r>
    </w:p>
    <w:p>
      <w:pPr>
        <w:pStyle w:val="Heading3"/>
      </w:pPr>
      <w:r>
        <w:t>3.3. Общий анализ мокроты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5112"/>
          </w:tcPr>
          <w:p>
            <w:r>
              <w:rPr>
                <w:b/>
                <w:i w:val="0"/>
              </w:rPr>
              <w:t>Показатель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Результат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Характер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Слизистая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Цвет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Прозрачная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Эозинофилы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Отсутствуют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Спирали Куршмана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Отсутствуют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Кристаллы Шарко-Лейдена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Отсутствуют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Лейкоциты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Единичные в препарате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Атипичные клетки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Микобактерии туберкулеза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===</w:t>
            </w:r>
          </w:p>
        </w:tc>
      </w:tr>
    </w:tbl>
    <w:p/>
    <w:p>
      <w:pPr>
        <w:pStyle w:val="Heading3"/>
      </w:pPr>
      <w:r>
        <w:t>3.4. Определение ренин-альдостеронового соотношения</w:t>
      </w:r>
    </w:p>
    <w:p>
      <w:pPr>
        <w:spacing w:after="58"/>
      </w:pPr>
      <w:r>
        <w:rPr>
          <w:b w:val="0"/>
          <w:i w:val="0"/>
        </w:rPr>
        <w:t>6 пг/мкМЕ (норма &lt; 12 пг/мкМЕ)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необходимым для постановки диагноза инструментальным методам обследования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ЭКГ в 12 отведениях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спирометрию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Эхо-КГ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ЭГДС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УЗИ органов брюшной полости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ЭКГ в 12 отведениях; Эхо-КГ</w:t>
      </w:r>
    </w:p>
    <w:p>
      <w:pPr>
        <w:ind w:left="504"/>
      </w:pPr>
      <w:r>
        <w:rPr>
          <w:b w:val="0"/>
          <w:i/>
        </w:rPr>
        <w:t>Базовое обследование всех пациентов с подозрением на ИБС включает регистрацию ЭКГ.</w:t>
        <w:br/>
        <w:br/>
        <w:t>Клинические рекомендации Министерства здравоохранения Российской Федерации. Хроническая сердечная недостаточность. 2020 г.</w:t>
        <w:br/>
        <w:br/>
      </w:r>
      <w:hyperlink r:id="rId3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Хроническая сердечная недостаточность. 2020 г.</w:t>
        </w:r>
      </w:hyperlink>
      <w:r>
        <w:rPr>
          <w:b w:val="0"/>
          <w:i/>
        </w:rPr>
        <w:br/>
        <w:br/>
      </w:r>
      <w:hyperlink r:id="rId3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Базовое обследование всех пациентов с подозрением на ИБС включает ЭхоКГ в покое.</w:t>
        <w:br/>
        <w:br/>
        <w:t>Клинические рекомендации Министерства здравоохранения Российской Федерации. Хроническая сердечная недостаточность. 2020 г.</w:t>
        <w:br/>
        <w:br/>
      </w:r>
      <w:hyperlink r:id="rId3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Хроническая сердечная недостаточность. 2020 г.</w:t>
        </w:r>
      </w:hyperlink>
      <w:r>
        <w:rPr>
          <w:b w:val="0"/>
          <w:i/>
        </w:rPr>
        <w:br/>
        <w:br/>
      </w:r>
      <w:hyperlink r:id="rId3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инструментальных методов обследования</w:t>
      </w:r>
    </w:p>
    <w:p>
      <w:pPr>
        <w:pStyle w:val="Heading3"/>
      </w:pPr>
      <w:r>
        <w:t>5.1. ЭКГ в 12 отведениях</w:t>
      </w:r>
    </w:p>
    <w:p>
      <w:r>
        <w:drawing>
          <wp:inline xmlns:a="http://schemas.openxmlformats.org/drawingml/2006/main" xmlns:pic="http://schemas.openxmlformats.org/drawingml/2006/picture">
            <wp:extent cx="5303520" cy="283034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a49b7d163f69b20e582a0e61483a2d17bd80eb0.jp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83034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электрокардиограмма 12.jpg</w:t>
      </w:r>
    </w:p>
    <w:p>
      <w:pPr>
        <w:pStyle w:val="Heading3"/>
      </w:pPr>
      <w:r>
        <w:t>5.2. Эхо-КГ</w:t>
      </w:r>
    </w:p>
    <w:p>
      <w:pPr>
        <w:spacing w:after="58"/>
      </w:pPr>
      <w:r>
        <w:rPr>
          <w:b w:val="0"/>
          <w:i w:val="0"/>
        </w:rPr>
        <w:t>Аорта не расширена. Створки аортального клапана и стенки аорты уплотнены, расхождение створок полное. Толщина задней стенки и межжелудочковой перегородки 12 мм. ФВ ЛЖ на фоне тахиформы фибрилляции предсердий 43%. Определяется незначительная надклапанная митральная и трикуспидальная регургитация 1 ст.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Диагноз, который можно поставить больному на основании результатов клинико-лабораторных и инструментальных методов обследования, -это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Гипертрофическая обструктивная кардиомиопатия. Субартальный стеноз. Нарушения ритма сердца: Частая желудочковая экстрасистолия.  Осложнение: ХСН со сниженной ФВ ЛЖ, I стадии по Н.Д. Стражеско-В.Х. Василенко, II ФК NYHA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Гипертоническая болезнь III стадии, артериальная гипертензия 3 степени очень высокий риск сердечно-сосудистых осложнений. Полная блокада правой ножки пучка Гиса. Трепетание предсердий с проведением 3:1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ИБС: стабильная стенокардия III ФК. Фибрилляция предсердий, тахисистолическая форма. Риск тромбоэмболических осложнений по шкале CHA2DS2-VASc 5 баллов (возраст старше 75 лет, АГ, сосудистое заболевание (ИБС), ХСН). Гипертоническая болезнь III стадии, артериальная гипертензия 3 степени, очень высокий риск сердечно-сосудистых осложнений. Атеросклероз аорты, сосудов сердца.</w:t>
        <w:br/>
        <w:t>Осложнение: ХСН с промежуточной ФВ ЛЖ 43%, IIA стадии по Н.Д. Стражеско-В.Х. Василенко, III ФК по NYHA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Хронический гастродуоденит, обострение. Аксиальная грыжа пищеводного отверстия диафрагмы. Гастроэзофагеальная рефлюксная болезнь, обострение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ИБС: стабильная стенокардия III ФК. Фибрилляция предсердий, тахисистолическая форма. Риск тромбоэмболических осложнений по шкале CHA2DS2-VASc 5 баллов (возраст старше 75 лет, АГ, сосудистое заболевание (ИБС), ХСН). Гипертоническая болезнь III стадии, артериальная гипертензия 3 степени, очень высокий риск сердечно-сосудистых осложнений. Атеросклероз аорты, сосудов сердца.</w:t>
        <w:br/>
        <w:t>Осложнение: ХСН с промежуточной ФВ ЛЖ 43%, IIA стадии по Н.Д. Стражеско-В.Х. Василенко, III ФК по NYHA</w:t>
      </w:r>
    </w:p>
    <w:p>
      <w:pPr>
        <w:ind w:left="504"/>
      </w:pPr>
      <w:r>
        <w:rPr>
          <w:b w:val="0"/>
          <w:i/>
        </w:rPr>
        <w:t>Болевой синдром в грудной клетке (характер боли, продолжительность, провоцирующие факторы) соответствует критериям стенокардии. Уровень переносимых физических нагрузок (менее 1 этажа и менее 200 м по ровной местности)  и  не менялся в течение последнего года, что соответствует стенокардии III ФК.</w:t>
        <w:br/>
        <w:t>Нарушения общей сократимости миокарда, выявляемы при ЭхоКГ, в виде снижения ФВ ЛЖ до 43% (промежуточные значения).</w:t>
        <w:br/>
        <w:t>Атеросклероз коронарных артерий: стеноз ствола ЛКА более 50% или одной или нескольких крупных коронарных артерий более 70% (наряду с вазоспазмом и микрососудистой дисфункцией) является типичным морфологическим субстратом для развития ИБС и, у пациента с ФР (мужской пол, возраст старше 55 л., артериальная гипертензия).</w:t>
        <w:br/>
        <w:br/>
        <w:t>Клинические рекомендации Министерства здравоохранения Российской Федерации. Артериальная гипертензия у взрослых. 2020 г.</w:t>
        <w:br/>
        <w:br/>
      </w:r>
      <w:hyperlink r:id="rId40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Артериальная гипертензия у взрослых. 2020 г.</w:t>
        </w:r>
      </w:hyperlink>
      <w:r>
        <w:rPr>
          <w:b w:val="0"/>
          <w:i/>
        </w:rPr>
        <w:br/>
        <w:br/>
      </w:r>
      <w:hyperlink r:id="rId4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Клинические рекомендации Российского кардиологического общества. Стабильная ишемическая болезнь сердца. 2020 г.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Российского кардиологического общества. Стабильная ишемическая болезнь сердца. 2020 г.</w:t>
        </w:r>
      </w:hyperlink>
      <w:r>
        <w:rPr>
          <w:b w:val="0"/>
          <w:i/>
        </w:rPr>
        <w:br/>
        <w:br/>
      </w:r>
      <w:hyperlink r:id="rId4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Клинические рекомендации Министерства здравоохранения Российской Федерации. Хроническая сердечная недостаточность. 2020 г.</w:t>
        <w:br/>
        <w:br/>
      </w:r>
      <w:hyperlink r:id="rId3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Хроническая сердечная недостаточность. 2020 г.</w:t>
        </w:r>
      </w:hyperlink>
      <w:r>
        <w:rPr>
          <w:b w:val="0"/>
          <w:i/>
        </w:rPr>
        <w:br/>
        <w:br/>
      </w:r>
      <w:hyperlink r:id="rId4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spacing w:after="58"/>
      </w:pPr>
      <w:r>
        <w:rPr>
          <w:b w:val="0"/>
          <w:i w:val="0"/>
        </w:rPr>
        <w:t>ИБС: стабильная стенокардия III ФК. Фибрилляция предсердий, тахисистолическая форма. +</w:t>
        <w:br/>
        <w:t>Фон: Атеросклероз аорты, сосудов сердца. +</w:t>
        <w:br/>
        <w:t>Осложнение: ХСН с промежуточной ФВ ЛЖ 43%,  IIA ст., III ФК NYHA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К изменениям на ЭКГ, выявленным у данного больного,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трепетание предсердий; признаки гипертрофии правого предсердия и правого желудочка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синусовая дыхательная аритмия; полная блокада правой ножки пучка Гиса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фибрилляция предсердий; неполная блокада правой ножки пучка Гиса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атриовентрикулярная блокада II ст. с периодикой Самойлова-Венкебаха; наджелудочковая экстрасистолия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фибрилляция предсердий; неполная блокада правой ножки пучка Гиса</w:t>
      </w:r>
    </w:p>
    <w:p>
      <w:pPr>
        <w:ind w:left="504"/>
      </w:pPr>
      <w:r>
        <w:rPr>
          <w:b w:val="0"/>
          <w:i/>
        </w:rPr>
        <w:t>Для ФП характерны:</w:t>
        <w:br/>
        <w:br/>
        <w:t>Абсолютно нерегулярные интервалы RR (не регистрируется в случаях сочетания ФП и АВ-блокады III степени (синдром Фредерика).</w:t>
        <w:br/>
        <w:br/>
        <w:t>Отсутствие отчетливых зубцов Р на ЭКГ. В отдельных отведениях — чаще всего в отведении V1 — иногда определяется некоторая регулярная электрическая активность предсердий.</w:t>
        <w:br/>
        <w:br/>
        <w:t>Длительность предсердного цикла (если определяется), т.е. интервала между двумя последовательными возбуждениями предсердий (F-волн), обычно изменчива и составляет менее 200 мс, что соответствует частоте предсердного ритма более 300 импульсов в минуту.</w:t>
        <w:br/>
        <w:br/>
        <w:t>Клинические рекомендации Министерства здравоохранения Российской Федерации. Фибрилляция и трепетание предсердий. 2020 г.</w:t>
        <w:br/>
        <w:br/>
      </w:r>
      <w:hyperlink r:id="rId4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Фибрилляция и трепетание предсердий. 2020 г.</w:t>
        </w:r>
      </w:hyperlink>
      <w:r>
        <w:rPr>
          <w:b w:val="0"/>
          <w:i/>
        </w:rPr>
        <w:br/>
        <w:br/>
      </w:r>
      <w:hyperlink r:id="rId4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ЭОС горизонтальная, что может быть признаком ГЛЖ. Комплексы QRS не расширены, в V1-V3 типа rSr’ – признаки неполной блокады правой ножки пучка Гиса.</w:t>
        <w:br/>
        <w:br/>
        <w:t>Для блокады правой ножки также характерно уширение комплекса QRS (до 0,12-0,13 с), но в меньшей степени, чем для БЛН. Время желудочковой активации в правых грудных отведениях составляет 0,07-0,12 с. Основные изменения желудочкового комплекса происходят в правых грудных отведениях: расщепленный и зазубренный комплекс QRS вида rsR, rsr, rSR и широкий глубокий зубец S в левых грудных отведениях. Ось сердца может быть отклонена вправо, но возможна и левограмма. Изменения ST-T в виде косонисходящего снижения сегмента ST и отрицательного зубца Т обнаруживаются в правых грудных и в отведениях III, avF.</w:t>
        <w:br/>
        <w:br/>
        <w:t>Функциональная диагностика : национальное руководство / под ред. Н. Ф. Берестень, В. А. Сандрикова, С. И. Федоровой - Москва : ГЭОТАР-Медиа, 2019. - 784 с. (Серия "Национальные руководства") - ISBN 978-5-9704-4242-5</w:t>
        <w:br/>
        <w:br/>
      </w:r>
      <w:hyperlink r:id="rId4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Препаратом выбора для купирования приступов стенокардии у больного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метопрололасукцинат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ипратропия бромид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гидрохлортиазид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нитроглицерин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нитроглицерин</w:t>
      </w:r>
    </w:p>
    <w:p>
      <w:pPr>
        <w:ind w:left="504"/>
      </w:pPr>
      <w:r>
        <w:rPr>
          <w:b w:val="0"/>
          <w:i/>
        </w:rPr>
        <w:t>Для устранения непосредственно приступа стабильной стенокардии (обезболивания) рекомендуется назначить органические нитраты короткого действия (нитроглицерин)</w:t>
        <w:br/>
        <w:br/>
        <w:t>Клинические рекомендации Российского кардиологического общества. Стабильная ишемическая болезнь сердца. 2020 г.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Российского кардиологического общества. Стабильная ишемическая болезнь сердца. 2020 г.</w:t>
        </w:r>
      </w:hyperlink>
      <w:r>
        <w:rPr>
          <w:b w:val="0"/>
          <w:i/>
        </w:rPr>
        <w:br/>
        <w:br/>
      </w:r>
      <w:hyperlink r:id="rId4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Для профилактики тромбоэмолических  осложнений данному больному показано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оральных антикоагулянтов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тканевого активатора плазминогена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двойной антитромбоцитарной 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блокаторов IIb-IIIa-рецепторов тромбоцитов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оральных антикоагулянтов</w:t>
      </w:r>
    </w:p>
    <w:p>
      <w:pPr>
        <w:ind w:left="504"/>
      </w:pPr>
      <w:r>
        <w:rPr>
          <w:b w:val="0"/>
          <w:i/>
        </w:rPr>
        <w:t>У больного риск тромбоэмболических осложнений по шкале CHA2DS2-VASc 5 баллов (возраст старше 75 лет, АГ, сосудистое заболевание (ИБС), ХСН).</w:t>
        <w:br/>
        <w:br/>
        <w:t>Постоянный прием пероральных антикоагулянтов с целью профилактики ТЭО рекомендован пациентам мужского пола с суммой баллов по шкале CHA2DS2-VASc ≥2 и пациентам женского пола с суммой баллов по шкале CHA2DS2-VASc ≥3.</w:t>
        <w:br/>
        <w:br/>
        <w:t>Клинические рекомендации Министерства здравоохранения Российской Федерации. Фибрилляция и трепетание предсердий. 2020 г.</w:t>
        <w:br/>
        <w:br/>
      </w:r>
      <w:hyperlink r:id="rId4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Фибрилляция и трепетание предсердий. 2020 г.</w:t>
        </w:r>
      </w:hyperlink>
      <w:r>
        <w:rPr>
          <w:b w:val="0"/>
          <w:i/>
        </w:rPr>
        <w:br/>
        <w:br/>
      </w:r>
      <w:hyperlink r:id="rId4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К препаратам выбора для коррекции дислипидемии у больного ИБС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препараты полиненасыщенных жирных кислот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фибраты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холестирамин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статины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статины</w:t>
      </w:r>
    </w:p>
    <w:p>
      <w:pPr>
        <w:ind w:left="504"/>
      </w:pPr>
      <w:r>
        <w:rPr>
          <w:b w:val="0"/>
          <w:i/>
        </w:rPr>
        <w:t>Для профилактики ССО всем пациентам со стабильной ИБС рекомендуется назначить ингибиторы ГМГ-КоА-редуктазы (статины) в максимально переносимой дозировке до достижения целевого уровня ХсЛНП (&lt;1,4 ммоль/л) и его снижения на 50% от исходного уровня</w:t>
        <w:br/>
        <w:br/>
        <w:t>Клинические рекомендации Российского кардиологического общества. Стабильная ишемическая болезнь сердца. 2020 г.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Российского кардиологического общества. Стабильная ишемическая болезнь сердца. 2020 г.</w:t>
        </w:r>
      </w:hyperlink>
      <w:r>
        <w:rPr>
          <w:b w:val="0"/>
          <w:i/>
        </w:rPr>
        <w:br/>
        <w:br/>
      </w:r>
      <w:hyperlink r:id="rId5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Целевые значения уровня ХС ЛПНП при терапии статинами должны составлять менее _____ ммоль/л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1,2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1,8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3,5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1,4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1,4</w:t>
      </w:r>
    </w:p>
    <w:p>
      <w:pPr>
        <w:ind w:left="504"/>
      </w:pPr>
      <w:r>
        <w:rPr>
          <w:b w:val="0"/>
          <w:i/>
        </w:rPr>
        <w:t>Для профилактики ССО всем пациентам со стабильной ИБС рекомендуется назначить ингибиторы ГМГ-КоА-редуктазы (статины) в максимально переносимой дозировке до достижения целевого уровня ХсЛНП (&lt;1,4 ммоль/л) и его снижения на 50% от исходного уровня</w:t>
        <w:br/>
        <w:br/>
        <w:t>Клинические рекомендации Российского кардиологического общества. Стабильная ишемическая болезнь сердца. 2020 г.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Российского кардиологического общества. Стабильная ишемическая болезнь сердца. 2020 г.</w:t>
        </w:r>
      </w:hyperlink>
      <w:r>
        <w:rPr>
          <w:b w:val="0"/>
          <w:i/>
        </w:rPr>
        <w:br/>
        <w:br/>
      </w:r>
      <w:hyperlink r:id="rId5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Частым и ожидаемым у данного больного побочным эффектом нитратов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головная боль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сухой кашель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симптомная брадикардия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артериальная гипертензия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головная боль</w:t>
      </w:r>
    </w:p>
    <w:p>
      <w:pPr>
        <w:ind w:left="504"/>
      </w:pPr>
      <w:r>
        <w:rPr>
          <w:b w:val="0"/>
          <w:i/>
        </w:rPr>
        <w:t>Следствием венозной дилатации является побочный эффект - резкая головная боль, особенно часто возникающая при первом приеме нитроглицерина.</w:t>
        <w:br/>
        <w:br/>
        <w:t>Общая врачебная практика. Т. 1 : национальное руководство / под ред. О. Ю. Кузнецовой, О. М. Лесняк, Е. В. Фроловой. - 2-е изд. , перераб. и доп. - Москва : ГЭОТАР-Медиа, 2020. - 1024 с. - ISBN 978-5-9704-5520-3</w:t>
        <w:br/>
        <w:br/>
      </w:r>
      <w:hyperlink r:id="rId5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|===</w:t>
        <w:br/>
        <w:br/>
        <w:t xml:space="preserve">^|Препарат </w:t>
        <w:tab/>
        <w:t>|Основные побочные эффекты</w:t>
        <w:br/>
        <w:t>|Нитроглицерин</w:t>
        <w:tab/>
        <w:t>|Артериальная гипотония, головная боль</w:t>
        <w:br/>
        <w:t>|Изосорбида динитрат</w:t>
        <w:tab/>
        <w:t>|Артериальная гипотония, головная боль</w:t>
        <w:br/>
        <w:t>|===</w:t>
        <w:br/>
        <w:br/>
        <w:t>Клинические рекомендации Министерства здравоохранения Российской Федерации. Хроническая сердечная недостаточность. 2020 г.</w:t>
        <w:br/>
        <w:br/>
      </w:r>
      <w:hyperlink r:id="rId3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Хроническая сердечная недостаточность. 2020 г.</w:t>
        </w:r>
      </w:hyperlink>
      <w:r>
        <w:rPr>
          <w:b w:val="0"/>
          <w:i/>
        </w:rPr>
        <w:br/>
        <w:br/>
      </w:r>
      <w:hyperlink r:id="rId5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модифицируемым фактором риска ИБС у данного больного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внутривенное употребление наркотических препаратов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мужской пол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артериальная гипертензия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пожилой возраст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артериальная гипертензия</w:t>
      </w:r>
    </w:p>
    <w:p>
      <w:pPr>
        <w:ind w:left="504"/>
      </w:pPr>
      <w:r>
        <w:rPr>
          <w:b w:val="0"/>
          <w:i/>
        </w:rPr>
        <w:t>Главные модифицируемые факторы риска ИБС:</w:t>
        <w:br/>
        <w:br/>
        <w:t>дислипопротеидемия;</w:t>
        <w:br/>
        <w:br/>
        <w:t>артериальная гипертония;</w:t>
        <w:br/>
        <w:br/>
        <w:t>сахарный диабет;</w:t>
        <w:br/>
        <w:br/>
        <w:t>курение;</w:t>
        <w:br/>
        <w:br/>
        <w:t>низкая физическая активность;</w:t>
        <w:br/>
        <w:br/>
        <w:t>ожирение;</w:t>
        <w:br/>
        <w:br/>
        <w:t>стресс, тревога.</w:t>
        <w:br/>
        <w:br/>
        <w:t>Немодифицируемые факторы риска ИБС:</w:t>
        <w:br/>
        <w:br/>
        <w:t>мужской пол;</w:t>
        <w:br/>
        <w:br/>
        <w:t>возраст;</w:t>
        <w:br/>
        <w:br/>
        <w:t>отягощенный семейный анамнез по сердечно-сосудистым заболеваниям (подтвержденный диагноз инфаркта миокарда или ишемического инсульта у родственников первой линии, у женщин — до 65 лет, у мужчин — до 55 лет).</w:t>
        <w:br/>
        <w:br/>
        <w:t>Клинические рекомендации Российского кардиологического общества. Стабильная ишемическая болезнь сердца. 2020 г.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Российского кардиологического общества. Стабильная ишемическая болезнь сердца. 2020 г.</w:t>
        </w:r>
      </w:hyperlink>
      <w:r>
        <w:rPr>
          <w:b w:val="0"/>
          <w:i/>
        </w:rPr>
        <w:br/>
        <w:br/>
      </w:r>
      <w:hyperlink r:id="rId5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Инвазивным методом, который целесообразно использовать для визуализации коронарного русла у данного больного, выступает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КТ-ангиография коронарных артерий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мультидетекторная КТ с определением коронарного кальция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МРТ-ангиография коронарных артерий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коронароангиография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коронароангиография</w:t>
      </w:r>
    </w:p>
    <w:p>
      <w:pPr>
        <w:ind w:left="504"/>
      </w:pPr>
      <w:r>
        <w:rPr>
          <w:b w:val="0"/>
          <w:i/>
        </w:rPr>
        <w:t>Коронарная ангиография (КАГ, коронарография) — это инвазивное диагностическое исследование, выполняемое в условиях рентгенооперационной путем введения контрастного вещества в устья коронарных артерий под рентгенологическим контролем. Традиционно используется в диагностике ИБС и при стратификации риска осложнений, для выявления стенозов в коронарных артериях, их локализации, протяженности и выраженности, а также, в ряде случаев, — для обнаружения участков нестабильности атеросклеротических бляшек</w:t>
        <w:br/>
        <w:br/>
        <w:t>Клинические рекомендации Российского кардиологического общества. Стабильная ишемическая болезнь сердца. 2020 г.</w:t>
        <w:br/>
        <w:br/>
      </w:r>
      <w:hyperlink r:id="rId42">
        <w:r>
          <w:rPr>
            <w:color w:val="0F766E"/>
            <w:u w:val="single"/>
          </w:rPr>
          <w:t>Клинические рекомендации Российского кардиологического общества. Стабильная ишемическая болезнь сердца. 2020 г.</w:t>
        </w:r>
      </w:hyperlink>
      <w:r>
        <w:rPr>
          <w:b w:val="0"/>
          <w:i/>
        </w:rPr>
        <w:br/>
        <w:br/>
      </w:r>
      <w:hyperlink r:id="rId5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Для оценки риска кардиоэмболических  инсультов у данного больного с неклапанной фибрилляцией предсердий следует использовать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шкалу Turkott-Child-Pugh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шкалу CHA2DS2-VASc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Фрамингемскую шкалу риска (АТР-III)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шкалу HEMORR2HAGES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шкалу CHA2DS2-VASc</w:t>
      </w:r>
    </w:p>
    <w:p>
      <w:pPr>
        <w:ind w:left="504"/>
      </w:pPr>
      <w:r>
        <w:rPr>
          <w:b w:val="0"/>
          <w:i/>
        </w:rPr>
        <w:t>Всем пациентам с фибрилляцией предсердий, не связанной с поражением клапанов сердца, рекомендовано использовать шкалу CHA2DS2-VASc для оценки риска тромбоэмболических осложнений (ишемического инсульта, транзиторных ишемических атак и системных тромбоэмболий)</w:t>
        <w:br/>
        <w:br/>
        <w:t>Клинические рекомендации Министерства здравоохранения Российской Федерации. Фибрилляция и трепетание предсердий. 2020 г.</w:t>
        <w:br/>
        <w:br/>
      </w:r>
      <w:hyperlink r:id="rId4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Фибрилляция и трепетание предсердий. 2020 г.</w:t>
        </w:r>
      </w:hyperlink>
      <w:r>
        <w:rPr>
          <w:b w:val="0"/>
          <w:i/>
        </w:rPr>
        <w:br/>
        <w:br/>
      </w:r>
      <w:hyperlink r:id="rId55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156_24/" TargetMode="External"/><Relationship Id="rId10" Type="http://schemas.openxmlformats.org/officeDocument/2006/relationships/hyperlink" Target="https://library.mededtech.ru/rest/documents/KP156_24/#list_item_3dh5re" TargetMode="External"/><Relationship Id="rId11" Type="http://schemas.openxmlformats.org/officeDocument/2006/relationships/hyperlink" Target="https://library.mededtech.ru/rest/documents/KP156_24/#list_item_gt09uv" TargetMode="External"/><Relationship Id="rId12" Type="http://schemas.openxmlformats.org/officeDocument/2006/relationships/hyperlink" Target="https://library.mededtech.ru/rest/documents/KP156_24/#list_item_c9e5mp" TargetMode="External"/><Relationship Id="rId13" Type="http://schemas.openxmlformats.org/officeDocument/2006/relationships/hyperlink" Target="https://library.mededtech.ru/rest/documents/KP155_24/" TargetMode="External"/><Relationship Id="rId14" Type="http://schemas.openxmlformats.org/officeDocument/2006/relationships/hyperlink" Target="https://library.mededtech.ru/rest/documents/KP155_24/#list_item_ike75r" TargetMode="External"/><Relationship Id="rId15" Type="http://schemas.openxmlformats.org/officeDocument/2006/relationships/hyperlink" Target="https://library.mededtech.ru/rest/documents/KP155_24/#list_item_udpfta" TargetMode="External"/><Relationship Id="rId16" Type="http://schemas.openxmlformats.org/officeDocument/2006/relationships/hyperlink" Target="https://library.mededtech.ru/rest/documents/KP156_24/#list_item_87dv8l" TargetMode="External"/><Relationship Id="rId17" Type="http://schemas.openxmlformats.org/officeDocument/2006/relationships/hyperlink" Target="https://library.mededtech.ru/rest/documents/KP155_24/#list_item_2p39pm" TargetMode="External"/><Relationship Id="rId18" Type="http://schemas.openxmlformats.org/officeDocument/2006/relationships/hyperlink" Target="https://library.mededtech.ru/rest/documents/KP156_24/#list_item_9qmpcd" TargetMode="External"/><Relationship Id="rId19" Type="http://schemas.openxmlformats.org/officeDocument/2006/relationships/hyperlink" Target="https://library.mededtech.ru/rest/documents/KP156_24/#list_item_n7n47l" TargetMode="External"/><Relationship Id="rId20" Type="http://schemas.openxmlformats.org/officeDocument/2006/relationships/hyperlink" Target="https://library.mededtech.ru/rest/documents/KP62_24/" TargetMode="External"/><Relationship Id="rId21" Type="http://schemas.openxmlformats.org/officeDocument/2006/relationships/hyperlink" Target="https://library.mededtech.ru/rest/documents/KP62_24/#list_item_c5kl1j" TargetMode="External"/><Relationship Id="rId22" Type="http://schemas.openxmlformats.org/officeDocument/2006/relationships/hyperlink" Target="https://library.mededtech.ru/rest/documents/KP156_24/#paragraph_5humk7" TargetMode="External"/><Relationship Id="rId23" Type="http://schemas.openxmlformats.org/officeDocument/2006/relationships/hyperlink" Target="https://library.mededtech.ru/rest/documents/KP156_24/#list_item_38tu7i" TargetMode="External"/><Relationship Id="rId24" Type="http://schemas.openxmlformats.org/officeDocument/2006/relationships/hyperlink" Target="https://library.mededtech.ru/rest/documents/KP156_24/#list_item_sa7f4q" TargetMode="External"/><Relationship Id="rId25" Type="http://schemas.openxmlformats.org/officeDocument/2006/relationships/hyperlink" Target="https://library.mededtech.ru/rest/documents/KP156_24/#paragraph_uo3el5" TargetMode="External"/><Relationship Id="rId26" Type="http://schemas.openxmlformats.org/officeDocument/2006/relationships/hyperlink" Target="https://library.mededtech.ru/rest/documents/KP156_24/#list_item_o41n5l" TargetMode="External"/><Relationship Id="rId27" Type="http://schemas.openxmlformats.org/officeDocument/2006/relationships/hyperlink" Target="https://library.mededtech.ru/rest/documents/KP156_24/#list_item_f8b2na" TargetMode="External"/><Relationship Id="rId28" Type="http://schemas.openxmlformats.org/officeDocument/2006/relationships/hyperlink" Target="https://library.mededtech.ru/rest/documents/KP156_24/#list_item_rcke4m" TargetMode="External"/><Relationship Id="rId29" Type="http://schemas.openxmlformats.org/officeDocument/2006/relationships/hyperlink" Target="https://library.mededtech.ru/rest/documents/KP156_24/#list_item_tje6o8" TargetMode="External"/><Relationship Id="rId30" Type="http://schemas.openxmlformats.org/officeDocument/2006/relationships/hyperlink" Target="https://library.mededtech.ru/rest/documents/KP156_24/#list_item_vuq53p" TargetMode="External"/><Relationship Id="rId31" Type="http://schemas.openxmlformats.org/officeDocument/2006/relationships/hyperlink" Target="https://library.mededtech.ru/rest/documents/KP156_24/#list_item_kiocl5" TargetMode="External"/><Relationship Id="rId32" Type="http://schemas.openxmlformats.org/officeDocument/2006/relationships/hyperlink" Target="https://library.mededtech.ru/rest/documents/KP156_24/#list_item_nniev4" TargetMode="External"/><Relationship Id="rId33" Type="http://schemas.openxmlformats.org/officeDocument/2006/relationships/hyperlink" Target="https://library.mededtech.ru/rest/documents/KP156_24/#list_item_mmj3om" TargetMode="External"/><Relationship Id="rId34" Type="http://schemas.openxmlformats.org/officeDocument/2006/relationships/hyperlink" Target="https://library.mededtech.ru/rest/documents/KP156_24/#paragraph_25qdq6" TargetMode="External"/><Relationship Id="rId35" Type="http://schemas.openxmlformats.org/officeDocument/2006/relationships/hyperlink" Target="https://library.mededtech.ru/rest/documents/134_2020" TargetMode="External"/><Relationship Id="rId36" Type="http://schemas.openxmlformats.org/officeDocument/2006/relationships/hyperlink" Target="https://library.mededtech.ru/rest/documents/134_2020/#list_item_261r3v" TargetMode="External"/><Relationship Id="rId37" Type="http://schemas.openxmlformats.org/officeDocument/2006/relationships/hyperlink" Target="https://library.mededtech.ru/rest/documents/134_2020/#list_item_27q4kk" TargetMode="External"/><Relationship Id="rId38" Type="http://schemas.openxmlformats.org/officeDocument/2006/relationships/hyperlink" Target="https://library.mededtech.ru/rest/documents/134_2020/#list_item_k51qq5" TargetMode="External"/><Relationship Id="rId39" Type="http://schemas.openxmlformats.org/officeDocument/2006/relationships/image" Target="media/image1.jpg"/><Relationship Id="rId40" Type="http://schemas.openxmlformats.org/officeDocument/2006/relationships/hyperlink" Target="https://library.mededtech.ru/rest/documents/KP62" TargetMode="External"/><Relationship Id="rId41" Type="http://schemas.openxmlformats.org/officeDocument/2006/relationships/hyperlink" Target="https://library.mededtech.ru/rest/documents/KP62/#paragraph_4eca52" TargetMode="External"/><Relationship Id="rId42" Type="http://schemas.openxmlformats.org/officeDocument/2006/relationships/hyperlink" Target="https://library.mededtech.ru/rest/documents/133_2020" TargetMode="External"/><Relationship Id="rId43" Type="http://schemas.openxmlformats.org/officeDocument/2006/relationships/hyperlink" Target="https://library.mededtech.ru/rest/documents/133_2020/#tablePA3-1" TargetMode="External"/><Relationship Id="rId44" Type="http://schemas.openxmlformats.org/officeDocument/2006/relationships/hyperlink" Target="https://library.mededtech.ru/rest/documents/134_2020/#paragraph_n3f5gr" TargetMode="External"/><Relationship Id="rId45" Type="http://schemas.openxmlformats.org/officeDocument/2006/relationships/hyperlink" Target="https://library.mededtech.ru/rest/documents/888_20" TargetMode="External"/><Relationship Id="rId46" Type="http://schemas.openxmlformats.org/officeDocument/2006/relationships/hyperlink" Target="https://library.mededtech.ru/rest/documents/888_20/#paragraph_69dt3u" TargetMode="External"/><Relationship Id="rId47" Type="http://schemas.openxmlformats.org/officeDocument/2006/relationships/hyperlink" Target="https://library.mededtech.ru/rest/documents/ISBN9785970442425/?anchor=paragraph_rrsiag#paragraph_rrsiag" TargetMode="External"/><Relationship Id="rId48" Type="http://schemas.openxmlformats.org/officeDocument/2006/relationships/hyperlink" Target="https://library.mededtech.ru/rest/documents/133_2020/#list_item_8860iv" TargetMode="External"/><Relationship Id="rId49" Type="http://schemas.openxmlformats.org/officeDocument/2006/relationships/hyperlink" Target="https://library.mededtech.ru/rest/documents/888_20/#list_item_rgc626" TargetMode="External"/><Relationship Id="rId50" Type="http://schemas.openxmlformats.org/officeDocument/2006/relationships/hyperlink" Target="https://library.mededtech.ru/rest/documents/133_2020/#list_item_497cuj" TargetMode="External"/><Relationship Id="rId51" Type="http://schemas.openxmlformats.org/officeDocument/2006/relationships/hyperlink" Target="https://library.mededtech.ru/rest/documents/ISBN9785970455203/?anchor=list_item_2718f1#list_item_2718f1" TargetMode="External"/><Relationship Id="rId52" Type="http://schemas.openxmlformats.org/officeDocument/2006/relationships/hyperlink" Target="https://library.mededtech.ru/rest/documents/134_2020/#tab13" TargetMode="External"/><Relationship Id="rId53" Type="http://schemas.openxmlformats.org/officeDocument/2006/relationships/hyperlink" Target="https://library.mededtech.ru/rest/documents/133_2020/#paragraph_c6h3np" TargetMode="External"/><Relationship Id="rId54" Type="http://schemas.openxmlformats.org/officeDocument/2006/relationships/hyperlink" Target="https://library.mededtech.ru/rest/documents/133_2020/#paragraph_a56a85" TargetMode="External"/><Relationship Id="rId55" Type="http://schemas.openxmlformats.org/officeDocument/2006/relationships/hyperlink" Target="https://library.mededtech.ru/rest/documents/888_20/#list_item_sl6k6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